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81" w:rsidRDefault="00610881" w:rsidP="005271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РЕГИОНАЛЬНАЯ ОБЩЕСТВЕННАЯ ОРГАНИЗАЦИЯ  </w:t>
      </w:r>
    </w:p>
    <w:p w:rsidR="00610881" w:rsidRDefault="00610881" w:rsidP="005271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«АССОЦИАЦИЯ КОРЕННЫХ МАЛОЧИСЛЕННЫХ НАРОДОВ СЕВЕРА УСТЬ-ЯНСКОГО УЛУСА РЕСПУЛИКИ САХА (ЯКУТИЯ)»</w:t>
      </w:r>
    </w:p>
    <w:p w:rsidR="00610881" w:rsidRDefault="00610881" w:rsidP="005271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678540, Республика Саха (Якутия),  </w:t>
      </w:r>
      <w:r w:rsidR="00CB7E00">
        <w:rPr>
          <w:rFonts w:ascii="Times New Roman" w:eastAsia="Times New Roman" w:hAnsi="Times New Roman" w:cs="Times New Roman"/>
          <w:sz w:val="28"/>
          <w:szCs w:val="28"/>
        </w:rPr>
        <w:t xml:space="preserve">Усть-Янский улус,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епутатский, мкр. Арктика, 27, кв.111.</w:t>
      </w:r>
    </w:p>
    <w:p w:rsidR="00610881" w:rsidRDefault="00610881" w:rsidP="005271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 – 1171447016234, ИНН – 1429006756</w:t>
      </w:r>
    </w:p>
    <w:p w:rsidR="00610881" w:rsidRDefault="00002CC8" w:rsidP="006108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+7 (924) 17</w:t>
      </w:r>
      <w:r w:rsidR="00610881">
        <w:rPr>
          <w:rFonts w:ascii="Times New Roman" w:eastAsia="Times New Roman" w:hAnsi="Times New Roman" w:cs="Times New Roman"/>
          <w:sz w:val="28"/>
          <w:szCs w:val="28"/>
        </w:rPr>
        <w:t>3-50-93</w:t>
      </w:r>
    </w:p>
    <w:p w:rsidR="00610881" w:rsidRDefault="00610881" w:rsidP="0061088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81" w:rsidRDefault="00610881" w:rsidP="0061088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81" w:rsidRDefault="00610881" w:rsidP="00610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ИТОГАМ  ПРОВЕДЕНИЯ ИССЛЕДОВАНИЯ ПО СБОРУ И ОБОБЩЕНИЮ ИНФОРМАЦИИ В РАМКАХ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НЕЗАВИСИМОЙ ОЦЕНКИ КАЧЕСТВА  УСЛОВИЙ ОСУЩЕСТВЛЕНИЯ ДЕЯТЕЛЬНОСТИ  ОРГАНИЗАЦИИ КУЛЬТУРЫ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</w:p>
    <w:p w:rsidR="00610881" w:rsidRDefault="00002CC8" w:rsidP="0061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10881">
        <w:rPr>
          <w:rFonts w:ascii="Times New Roman" w:hAnsi="Times New Roman"/>
          <w:sz w:val="28"/>
          <w:szCs w:val="28"/>
        </w:rPr>
        <w:t xml:space="preserve">униципальном бюджетном </w:t>
      </w:r>
      <w:proofErr w:type="gramStart"/>
      <w:r w:rsidR="00610881">
        <w:rPr>
          <w:rFonts w:ascii="Times New Roman" w:hAnsi="Times New Roman"/>
          <w:sz w:val="28"/>
          <w:szCs w:val="28"/>
        </w:rPr>
        <w:t>учреждении</w:t>
      </w:r>
      <w:proofErr w:type="gramEnd"/>
      <w:r w:rsidR="00610881">
        <w:rPr>
          <w:rFonts w:ascii="Times New Roman" w:hAnsi="Times New Roman"/>
          <w:sz w:val="28"/>
          <w:szCs w:val="28"/>
        </w:rPr>
        <w:t xml:space="preserve"> «Дом культуры Металлург» </w:t>
      </w:r>
    </w:p>
    <w:p w:rsidR="00610881" w:rsidRDefault="00610881" w:rsidP="00610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2019 ГОД</w:t>
      </w: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0881" w:rsidRDefault="00610881" w:rsidP="00002CC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2718E" w:rsidRDefault="0052718E" w:rsidP="00002CC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2718E" w:rsidRDefault="0052718E" w:rsidP="00002CC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0881" w:rsidRDefault="00610881" w:rsidP="006108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Депутатский , 2019</w:t>
      </w:r>
    </w:p>
    <w:p w:rsidR="0052718E" w:rsidRDefault="00610881" w:rsidP="00610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10881" w:rsidRDefault="00610881" w:rsidP="00610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2718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экспертизы по сбору и обобщению информации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условий осуществления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002C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бюджетном учреждении «Дом культуры «Металлург»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Описание социальной проблемы и ее текущее состояние.</w:t>
      </w:r>
    </w:p>
    <w:p w:rsidR="00610881" w:rsidRDefault="00610881" w:rsidP="0061088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 и образования, социального обслуживания и федеральными учреждениями медико-социальной экспертизы» от 05 декабря 2017 г. и Перечня поручений Президента РФ по реализации Послания Президента Федеральному Собранию РФ от 12 декабря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2012 г. Минтрудом России  совместно с заинтересованными федеральными органами исполнительной власти с участием общественных организаций разработан проект постановления Правительства Российской Федерации «О формировании независимой системы оценки качества работы организаций, оказывающих социальные услуги». На основании Постановления Правительства РФ от 31 мая 2018 г. N 638 «Об утверждении правил сбора и обобщения информации о качестве условий оказания услуг организации в сфере культуры, охраны здоровья, образования, социального обслуживания и федеральными учреждениями медико-социальной экспертизы» осуществлен сбор и обобщение материала в соответствии с требованиями независимой оценки качества (далее – НОК) в текущем, 2019 году.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организациям, оказывающим социальные услуги, в рамках данного постановления отнесены государственные и муниципальные учреждения в сфере образования, здравоохранения, социального обслуживания, культуры, физической культуры и спорта.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элементом независимой системы оценки качества работы организаций, оказывающих социальные услуги, является информационная открытость учреждений, обеспечение доступности информации об их деятельности для граждан-потребителей услуг.</w:t>
      </w:r>
    </w:p>
    <w:p w:rsidR="0052718E" w:rsidRDefault="0052718E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881" w:rsidRDefault="00610881" w:rsidP="006108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проведения независимой оценки использованы: </w:t>
      </w:r>
      <w:proofErr w:type="gramEnd"/>
    </w:p>
    <w:p w:rsidR="00610881" w:rsidRDefault="00610881" w:rsidP="006108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881" w:rsidRDefault="00610881" w:rsidP="0061088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Показатели, характеризующие </w:t>
      </w:r>
      <w:r>
        <w:rPr>
          <w:rFonts w:ascii="Times New Roman" w:hAnsi="Times New Roman" w:cs="Times New Roman"/>
          <w:b/>
          <w:sz w:val="28"/>
          <w:szCs w:val="28"/>
        </w:rPr>
        <w:t>открытость и доступность информации об организации культуры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10881" w:rsidRDefault="00610881" w:rsidP="0061088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0881" w:rsidRDefault="00610881" w:rsidP="0061088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помещении организации;</w:t>
      </w:r>
    </w:p>
    <w:p w:rsidR="00610881" w:rsidRDefault="00610881" w:rsidP="00610881">
      <w:pPr>
        <w:pStyle w:val="a4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организации в информационно-телекоммуникационной сети "Интернет" (далее - официальный сайте организации).</w:t>
      </w:r>
    </w:p>
    <w:p w:rsidR="00610881" w:rsidRDefault="00610881" w:rsidP="0061088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0881" w:rsidRDefault="00610881" w:rsidP="0061088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телефона;</w:t>
      </w:r>
    </w:p>
    <w:p w:rsidR="00610881" w:rsidRDefault="00610881" w:rsidP="0061088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:rsidR="00610881" w:rsidRDefault="00610881" w:rsidP="00610881">
      <w:pPr>
        <w:pStyle w:val="a4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технической возможности выражения мнения получателем услуг о качестве условий оказания услуг (наличие анкеты или гиперссылки на нее);</w:t>
      </w:r>
    </w:p>
    <w:p w:rsidR="00610881" w:rsidRDefault="00610881" w:rsidP="00610881">
      <w:pPr>
        <w:pStyle w:val="a4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электронного сервиса: форма для подачи электронного обращения/жалобы/ предложения;</w:t>
      </w:r>
    </w:p>
    <w:p w:rsidR="00610881" w:rsidRDefault="00610881" w:rsidP="00610881">
      <w:pPr>
        <w:pStyle w:val="a4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раздела «Часто задаваемые вопросы»;</w:t>
      </w:r>
    </w:p>
    <w:p w:rsidR="00610881" w:rsidRDefault="00610881" w:rsidP="00610881">
      <w:pPr>
        <w:pStyle w:val="a4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иного электронного сервиса. </w:t>
      </w:r>
    </w:p>
    <w:p w:rsidR="00610881" w:rsidRDefault="00610881" w:rsidP="00610881">
      <w:pPr>
        <w:pStyle w:val="a4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 условий предоставления услуг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комфортной зоны отдыха (ожидания) оборудованной соответствующей мебелью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понятность навигации внутри организации;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наличие и доступность питьевой воды;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санитарно-гигиенических помещений;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санитарное состояние помещений организации;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комфортностью предоставления услуг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Показатели, характеризующие доступность услуг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Оборудование помещений организации  и прилегающей к организации территории с учетом доступности для инвалидов: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в организации (учреждении) условий доступности, позволяющих инвалидам получать услуги наравне с другими, включая: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(учреждения) для инвалидов по зрению;</w:t>
      </w:r>
    </w:p>
    <w:p w:rsidR="00610881" w:rsidRDefault="00610881" w:rsidP="0061088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Доля получателей услуг, удовлетворенных доступностью услуг для инвалидов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 - инвалидов).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доброжелательность, вежливость работников организации 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Удовлетворенность условиями оказания услуг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организационными условиями оказания услуг - графиком работы организации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в целом условиями оказания услуг в организации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10881" w:rsidRDefault="00610881" w:rsidP="006108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881" w:rsidRDefault="00610881" w:rsidP="006108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Объект социальной экспертизы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Независимое исследование качества условий предоставления услуг в организации культур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A205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05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учреждение «Дом культуры «Металлург»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10881" w:rsidRDefault="00610881" w:rsidP="006108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Предмет социальной экспертизы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Изучение общественного мнения об условиях предоставляемых услуг, качестве предоставления услуг, информированности населения и пользователей услугами, открытость информации о деятельности организации, доброжелательности и вежливости персонала, определение интегральной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оценки качества условий  предоставления 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Заключение о соответствии нормативных правовых актов и деятельности органов государственной власти, решений и деятельности органов местного самоуправления положениям социальной культурной политики, реализуемой в учреждении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нормативными актами, подлежащими обязательному исполнению в учреждениях культуры, является: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Закон Российской Федерации от 09.10.1992 № 3612-I «Основы законодательства РФ о культуре»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02 мая 2006 г. № 59-ФЗ «О порядке рассмотрения обращений граждан в Российской Федерации».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РФ «О защите прав потребителей» от 07 февраля 1992 г. № 2300-1.</w:t>
      </w:r>
    </w:p>
    <w:p w:rsidR="00610881" w:rsidRDefault="00610881" w:rsidP="00610881">
      <w:pPr>
        <w:pStyle w:val="a4"/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  <w:proofErr w:type="gramStart"/>
      <w:r>
        <w:rPr>
          <w:rFonts w:ascii="Times New Roman" w:eastAsia="Lucida Sans Unicode" w:hAnsi="Times New Roman"/>
          <w:sz w:val="28"/>
          <w:szCs w:val="28"/>
        </w:rPr>
        <w:t xml:space="preserve">Независимая оценка качества проводится в соответствии с 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bCs/>
          <w:sz w:val="28"/>
          <w:szCs w:val="28"/>
        </w:rPr>
        <w:t>от 09.10.1992 № 3612-I «Основы законодательства РФ о культуре»</w:t>
      </w:r>
      <w:r>
        <w:rPr>
          <w:rFonts w:ascii="Times New Roman" w:hAnsi="Times New Roman"/>
          <w:bCs/>
          <w:spacing w:val="-7"/>
          <w:sz w:val="28"/>
          <w:szCs w:val="28"/>
        </w:rPr>
        <w:t>; Федеральным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proofErr w:type="gramEnd"/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-7"/>
          <w:sz w:val="28"/>
          <w:szCs w:val="28"/>
        </w:rPr>
        <w:t>Указом Президента Российской Федерации от 7 мая 2012 года № 597 «О мероприятиях по реализации государственной социальной политики»; Постановлением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proofErr w:type="gramEnd"/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-7"/>
          <w:sz w:val="28"/>
          <w:szCs w:val="28"/>
        </w:rPr>
        <w:t xml:space="preserve">Приказом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</w:t>
      </w:r>
      <w:r>
        <w:rPr>
          <w:rFonts w:ascii="Times New Roman" w:hAnsi="Times New Roman"/>
          <w:bCs/>
          <w:spacing w:val="-7"/>
          <w:sz w:val="28"/>
          <w:szCs w:val="28"/>
        </w:rPr>
        <w:lastRenderedPageBreak/>
        <w:t>деятельность, оказания услуг организациями культуры,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размещения»;</w:t>
      </w:r>
      <w:proofErr w:type="gramEnd"/>
      <w:r>
        <w:rPr>
          <w:rFonts w:ascii="Times New Roman" w:hAnsi="Times New Roman"/>
          <w:bCs/>
          <w:spacing w:val="-7"/>
          <w:sz w:val="28"/>
          <w:szCs w:val="28"/>
        </w:rPr>
        <w:t xml:space="preserve"> Приказом Минтруда России от 31 мая 2018 года № 344Н «Об утверждении Единого порядка расчета показателей, характеризующих общие критерии </w:t>
      </w:r>
      <w:proofErr w:type="gramStart"/>
      <w:r>
        <w:rPr>
          <w:rFonts w:ascii="Times New Roman" w:hAnsi="Times New Roman"/>
          <w:bCs/>
          <w:spacing w:val="-7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/>
          <w:bCs/>
          <w:spacing w:val="-7"/>
          <w:sz w:val="28"/>
          <w:szCs w:val="28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Приказом Минтруда России от 30 октября 2018 года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Проведенная социальная экспертиза в аспекте объекта – независимой оценки качества предоставления услуг организациями культуры – показала: 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610881" w:rsidRDefault="00610881" w:rsidP="0061088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Основные положения данных статей Закона РФ, РС (Я) в </w:t>
      </w:r>
      <w:r w:rsidR="00CA205D">
        <w:rPr>
          <w:rFonts w:ascii="Times New Roman" w:eastAsia="Times New Roman" w:hAnsi="Times New Roman"/>
          <w:sz w:val="28"/>
          <w:szCs w:val="28"/>
        </w:rPr>
        <w:t>общем,</w:t>
      </w:r>
      <w:r>
        <w:rPr>
          <w:rFonts w:ascii="Times New Roman" w:eastAsia="Times New Roman" w:hAnsi="Times New Roman"/>
          <w:sz w:val="28"/>
          <w:szCs w:val="28"/>
        </w:rPr>
        <w:t xml:space="preserve"> соблюдаются в </w:t>
      </w:r>
      <w:r>
        <w:rPr>
          <w:rFonts w:ascii="Times New Roman" w:hAnsi="Times New Roman"/>
          <w:sz w:val="28"/>
          <w:szCs w:val="28"/>
        </w:rPr>
        <w:t>МБУ «Дом культуры «Металлург».</w:t>
      </w:r>
    </w:p>
    <w:p w:rsidR="00610881" w:rsidRDefault="00610881" w:rsidP="0061088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 результатам проведенной социальной экспертизы требование Законодательства в представленных частях соблюдается в </w:t>
      </w:r>
      <w:r>
        <w:rPr>
          <w:rFonts w:ascii="Times New Roman" w:hAnsi="Times New Roman"/>
          <w:sz w:val="28"/>
          <w:szCs w:val="28"/>
        </w:rPr>
        <w:t>МБУ «Дом культуры «Металлург».</w:t>
      </w:r>
    </w:p>
    <w:p w:rsidR="00610881" w:rsidRDefault="00610881" w:rsidP="0061088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Имеющиеся данные социологических опросов не выявили фактов </w:t>
      </w:r>
      <w:r>
        <w:rPr>
          <w:rFonts w:ascii="Times New Roman" w:eastAsia="Times New Roman" w:hAnsi="Times New Roman"/>
          <w:sz w:val="28"/>
          <w:szCs w:val="28"/>
        </w:rPr>
        <w:t>нарушения представленных положений Закона.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Положения документов, имеющиеся материалы и/или факты деятельности, которые могут иметь негативные социальные последствия, оценка их возможных масштабов</w:t>
      </w:r>
    </w:p>
    <w:p w:rsidR="00610881" w:rsidRPr="0052718E" w:rsidRDefault="00610881" w:rsidP="00527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выявлены.</w:t>
      </w:r>
    </w:p>
    <w:p w:rsidR="00610881" w:rsidRDefault="00610881" w:rsidP="006108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Оценка на предмет соответствия законным интересам граждан проектов нормативных правовых актов, социальных проектов и программ, вывод о целесообразности и допустимости их реализации</w:t>
      </w:r>
    </w:p>
    <w:p w:rsidR="00610881" w:rsidRDefault="00610881" w:rsidP="006108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0881" w:rsidRDefault="00610881" w:rsidP="00610881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экспертизы по сбору данных и оценке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показателей условий предоставления услуг организации 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последовательно в 4 этапа.</w:t>
      </w:r>
    </w:p>
    <w:p w:rsidR="00610881" w:rsidRDefault="00610881" w:rsidP="00610881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 первом «организационном» этапе проведены следующие  мероприятия: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определение  Перечня в текущем периоде;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уточнение при необходимости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показателей условий предоставления услуг организации 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определение методов сбора первичной информации и уточнение требований к методикам их применения.</w:t>
      </w:r>
    </w:p>
    <w:p w:rsidR="00610881" w:rsidRDefault="00610881" w:rsidP="00610881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втором «подготовительном» этапе: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проведен анализ нормативно - правовой базы о порядке предоставления услуг культуры, мнений экспертов, представителей получателей услуг организации культуры, открытых источников информации с целью составления предварительного перечня проблем для изучения;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разработаны методика и инструментарий сбора первичной информации, в том числе рекомендаций интервьюерам, форм для регистрации первичной информации, анкет.</w:t>
      </w:r>
    </w:p>
    <w:p w:rsidR="00610881" w:rsidRDefault="00610881" w:rsidP="00610881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третьем «сбор первичной информации» этапе  осуществлено: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анализ нормативных правовых актов, регулирующих деятельность организаций культуры,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проведение «полевого этапа» исследования - сбор первичных данных и их обработка в соответствии с разработанными методами, выбранными или разработанными методиками;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сбор статистических данных;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 проведение анкетирования (опросов);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формирование итоговых массивов данных, заполнение отчетных форм представления информации.</w:t>
      </w:r>
    </w:p>
    <w:p w:rsidR="00610881" w:rsidRDefault="00610881" w:rsidP="00610881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четвертом «анализ и оценка условий предоставления услуг организации культуры» этапе проведено: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систематизация выявленных проблем деятельности организации культуры;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сопоставление фактических и нормативно установленных значений исследуемых параметров;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выявление территориальных и иных особенностей исследуемых параметров деятельности организаций культуры;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анализ первоначальных значений исследуемых параметров и показателей;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сопоставление нормативно установленных значений исследуемых параметров деятельности организаций культуры с выявленными проблемами и ожиданиями получателей услуг;</w:t>
      </w:r>
    </w:p>
    <w:p w:rsidR="00610881" w:rsidRDefault="00610881" w:rsidP="0061088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расчет интегральной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оценки качества работы организаций 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предоставления информации для дальнейшего формирование рейтинга.</w:t>
      </w:r>
    </w:p>
    <w:p w:rsidR="00610881" w:rsidRDefault="00610881" w:rsidP="006108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81" w:rsidRDefault="00610881" w:rsidP="006108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показателей НОК</w:t>
      </w:r>
    </w:p>
    <w:p w:rsidR="00610881" w:rsidRDefault="00610881" w:rsidP="006108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Критерий «Открытость и доступность информации об организации»</w:t>
      </w:r>
    </w:p>
    <w:p w:rsidR="00610881" w:rsidRDefault="00610881" w:rsidP="0061088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информации о деятельности организации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10881" w:rsidRDefault="00610881" w:rsidP="00014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014E3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9418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61088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Критерий «Комфортность условий предоставления услуг»</w:t>
      </w:r>
    </w:p>
    <w:p w:rsidR="00610881" w:rsidRDefault="00610881" w:rsidP="00014E3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61088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комфортностью предоставления услуг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Критерий «Доступность услуг для инвалидов»</w:t>
      </w:r>
    </w:p>
    <w:p w:rsidR="00610881" w:rsidRDefault="00610881" w:rsidP="00014E3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Оборудование помещений организации и прилегающей к организации территории с учетом доступности для инвалидов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014E3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учетом значимости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014E3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 – инвалидов)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Критерий «Доброжелательность, вежливость работников организаций культуры»</w:t>
      </w:r>
    </w:p>
    <w:p w:rsidR="00610881" w:rsidRDefault="00610881" w:rsidP="0061088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</w:tbl>
    <w:p w:rsidR="00610881" w:rsidRDefault="00610881" w:rsidP="00014E3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610881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Показатель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 при использовании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дистанционных форм взаимодействия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Критерий «Удовлетворенность условиями оказания услуг»</w:t>
      </w:r>
    </w:p>
    <w:p w:rsidR="00610881" w:rsidRDefault="00610881" w:rsidP="0061088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оказания услуг - графиком работы организации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</w:tbl>
    <w:p w:rsidR="00610881" w:rsidRDefault="00610881" w:rsidP="0061088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881" w:rsidRDefault="00610881" w:rsidP="0061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в целом условиями оказания услуг в организации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</w:tbl>
    <w:p w:rsidR="00610881" w:rsidRDefault="00610881" w:rsidP="00610881">
      <w:pPr>
        <w:spacing w:after="0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10881" w:rsidRDefault="00610881" w:rsidP="0061088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Выводы по результатам оценки</w:t>
      </w:r>
    </w:p>
    <w:p w:rsidR="00610881" w:rsidRDefault="00610881" w:rsidP="006108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Критерий «Открытость и доступность</w:t>
      </w:r>
      <w:r w:rsidR="003F510A">
        <w:rPr>
          <w:rFonts w:ascii="Times New Roman" w:hAnsi="Times New Roman" w:cs="Times New Roman"/>
          <w:bCs/>
          <w:sz w:val="24"/>
          <w:szCs w:val="24"/>
        </w:rPr>
        <w:t xml:space="preserve"> информации об организации»:  99,4</w:t>
      </w:r>
      <w:r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610881" w:rsidRDefault="00610881" w:rsidP="006108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Критерий «Комфортность условий предоставления услуг»: 99,2% достижения максимально возможных значений показателей.</w:t>
      </w:r>
    </w:p>
    <w:p w:rsidR="00610881" w:rsidRDefault="00610881" w:rsidP="006108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Критерия «Дост</w:t>
      </w:r>
      <w:r w:rsidR="003F510A">
        <w:rPr>
          <w:rFonts w:ascii="Times New Roman" w:hAnsi="Times New Roman" w:cs="Times New Roman"/>
          <w:bCs/>
          <w:sz w:val="24"/>
          <w:szCs w:val="24"/>
        </w:rPr>
        <w:t>упность услуг для инвалидов</w:t>
      </w:r>
      <w:r w:rsidR="008A1FC6">
        <w:rPr>
          <w:rFonts w:ascii="Times New Roman" w:hAnsi="Times New Roman" w:cs="Times New Roman"/>
          <w:bCs/>
          <w:color w:val="FF0000"/>
          <w:sz w:val="24"/>
          <w:szCs w:val="24"/>
        </w:rPr>
        <w:t>»: 84</w:t>
      </w:r>
      <w:r w:rsidRPr="008A1FC6">
        <w:rPr>
          <w:rFonts w:ascii="Times New Roman" w:hAnsi="Times New Roman" w:cs="Times New Roman"/>
          <w:bCs/>
          <w:color w:val="FF0000"/>
          <w:sz w:val="24"/>
          <w:szCs w:val="24"/>
        </w:rPr>
        <w:t>,1% достижения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максимально возможных значений показателей.</w:t>
      </w:r>
    </w:p>
    <w:p w:rsidR="00610881" w:rsidRDefault="00610881" w:rsidP="006108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Критерия «Доброжелательность, вежливос</w:t>
      </w:r>
      <w:r w:rsidR="00F015F4">
        <w:rPr>
          <w:rFonts w:ascii="Times New Roman" w:hAnsi="Times New Roman" w:cs="Times New Roman"/>
          <w:bCs/>
          <w:sz w:val="24"/>
          <w:szCs w:val="24"/>
        </w:rPr>
        <w:t xml:space="preserve">ть работников организаций»: </w:t>
      </w:r>
      <w:r w:rsidR="00F015F4" w:rsidRPr="00F015F4">
        <w:rPr>
          <w:rFonts w:ascii="Times New Roman" w:hAnsi="Times New Roman" w:cs="Times New Roman"/>
          <w:bCs/>
          <w:color w:val="FF0000"/>
          <w:sz w:val="24"/>
          <w:szCs w:val="24"/>
        </w:rPr>
        <w:t>98,5</w:t>
      </w:r>
      <w:r w:rsidRPr="00F015F4">
        <w:rPr>
          <w:rFonts w:ascii="Times New Roman" w:hAnsi="Times New Roman" w:cs="Times New Roman"/>
          <w:bCs/>
          <w:color w:val="FF0000"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достижения максимально возможных значений показателей.</w:t>
      </w:r>
    </w:p>
    <w:p w:rsidR="00610881" w:rsidRDefault="00610881" w:rsidP="00014E3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Критерия «Удовлетворенност</w:t>
      </w:r>
      <w:r w:rsidR="003F510A">
        <w:rPr>
          <w:rFonts w:ascii="Times New Roman" w:hAnsi="Times New Roman" w:cs="Times New Roman"/>
          <w:bCs/>
          <w:sz w:val="24"/>
          <w:szCs w:val="24"/>
        </w:rPr>
        <w:t xml:space="preserve">ь условиями </w:t>
      </w:r>
      <w:r w:rsidR="00F015F4">
        <w:rPr>
          <w:rFonts w:ascii="Times New Roman" w:hAnsi="Times New Roman" w:cs="Times New Roman"/>
          <w:bCs/>
          <w:sz w:val="24"/>
          <w:szCs w:val="24"/>
        </w:rPr>
        <w:t>оказания услуг»</w:t>
      </w:r>
      <w:proofErr w:type="gramStart"/>
      <w:r w:rsidR="00F015F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F01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5F4" w:rsidRPr="00F015F4">
        <w:rPr>
          <w:rFonts w:ascii="Times New Roman" w:hAnsi="Times New Roman" w:cs="Times New Roman"/>
          <w:bCs/>
          <w:color w:val="FF0000"/>
          <w:sz w:val="24"/>
          <w:szCs w:val="24"/>
        </w:rPr>
        <w:t>97,9</w:t>
      </w:r>
      <w:r w:rsidRPr="00F015F4">
        <w:rPr>
          <w:rFonts w:ascii="Times New Roman" w:hAnsi="Times New Roman" w:cs="Times New Roman"/>
          <w:bCs/>
          <w:color w:val="FF0000"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достижения макси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мально возможных значений показателей.</w:t>
      </w:r>
      <w:r w:rsidR="00014E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14E31" w:rsidRDefault="00014E31" w:rsidP="00014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014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 получателей услуг (законных представителей получателей услуг)</w:t>
      </w:r>
    </w:p>
    <w:tbl>
      <w:tblPr>
        <w:tblStyle w:val="a6"/>
        <w:tblW w:w="0" w:type="auto"/>
        <w:tblLook w:val="04A0"/>
      </w:tblPr>
      <w:tblGrid>
        <w:gridCol w:w="1129"/>
        <w:gridCol w:w="6804"/>
        <w:gridCol w:w="1978"/>
      </w:tblGrid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вопроса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ответы (процент)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 открытостью,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F015F4">
              <w:rPr>
                <w:rFonts w:ascii="Times New Roman" w:hAnsi="Times New Roman" w:cs="Times New Roman"/>
              </w:rPr>
              <w:t>4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условий предоставления услуг в организации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F01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6108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предоставления услуг для инвалидов в организации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F01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6108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с которыми взаимодействовали в дистанционной форме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</w:t>
            </w:r>
            <w:r w:rsidR="00F015F4">
              <w:rPr>
                <w:rFonts w:ascii="Times New Roman" w:hAnsi="Times New Roman" w:cs="Times New Roman"/>
              </w:rPr>
              <w:t>5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рекомендовать данную организацию родственникам и знакомым (или могли бы Вы ее рекомендовать, если бы была возможность выбора организации)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организационными условиями предоставления услуг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610881" w:rsidTr="0061088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F01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6108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610881" w:rsidRDefault="00610881" w:rsidP="00610881">
      <w:pPr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014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половозрастные характеристики респондентов</w:t>
      </w:r>
    </w:p>
    <w:p w:rsidR="00610881" w:rsidRDefault="00610881" w:rsidP="00014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-39,9</w:t>
      </w:r>
    </w:p>
    <w:p w:rsidR="00610881" w:rsidRDefault="00610881" w:rsidP="00610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Женщин- 60,1</w:t>
      </w:r>
    </w:p>
    <w:p w:rsidR="00610881" w:rsidRDefault="00610881" w:rsidP="00610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показатели по всем группам</w:t>
      </w:r>
    </w:p>
    <w:tbl>
      <w:tblPr>
        <w:tblStyle w:val="a6"/>
        <w:tblW w:w="9606" w:type="dxa"/>
        <w:tblLook w:val="04A0"/>
      </w:tblPr>
      <w:tblGrid>
        <w:gridCol w:w="817"/>
        <w:gridCol w:w="3011"/>
        <w:gridCol w:w="2517"/>
        <w:gridCol w:w="3261"/>
      </w:tblGrid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Суммарное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параметров</w:t>
            </w:r>
          </w:p>
        </w:tc>
      </w:tr>
      <w:tr w:rsidR="00610881" w:rsidTr="006108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61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94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«Дом культуры «Металлург</w:t>
            </w:r>
            <w:r w:rsidR="0061088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3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10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81" w:rsidRDefault="00844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  <w:r w:rsidR="00610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5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10881" w:rsidRDefault="00610881" w:rsidP="00610881">
      <w:pPr>
        <w:rPr>
          <w:rFonts w:ascii="Times New Roman" w:hAnsi="Times New Roman" w:cs="Times New Roman"/>
          <w:sz w:val="28"/>
          <w:szCs w:val="28"/>
        </w:rPr>
      </w:pPr>
    </w:p>
    <w:p w:rsidR="00610881" w:rsidRDefault="00610881" w:rsidP="0061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</w:pPr>
    </w:p>
    <w:p w:rsidR="00610881" w:rsidRDefault="00610881" w:rsidP="0061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503545" cy="3209290"/>
            <wp:effectExtent l="19050" t="0" r="209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10881" w:rsidRPr="008762AD" w:rsidRDefault="00610881" w:rsidP="00610881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  <w:sectPr w:rsidR="00610881" w:rsidRPr="008762AD" w:rsidSect="0052718E">
          <w:pgSz w:w="11906" w:h="16838"/>
          <w:pgMar w:top="709" w:right="851" w:bottom="709" w:left="1134" w:header="709" w:footer="709" w:gutter="0"/>
          <w:cols w:space="720"/>
        </w:sectPr>
      </w:pPr>
    </w:p>
    <w:p w:rsidR="00610881" w:rsidRDefault="00610881" w:rsidP="00610881">
      <w:pPr>
        <w:tabs>
          <w:tab w:val="left" w:pos="142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Предложения по улучшению качества работы организации.</w:t>
      </w:r>
    </w:p>
    <w:p w:rsidR="00610881" w:rsidRDefault="00610881" w:rsidP="006108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81" w:rsidRDefault="00610881" w:rsidP="00610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раздел «Часто задаваемые вопросы»;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возможность предоставления инвалидам по слуху (слуху и зрению) услуг сурдопереводчика (тифлосурдопереводчика).</w:t>
      </w:r>
    </w:p>
    <w:p w:rsidR="00610881" w:rsidRDefault="00610881" w:rsidP="006108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Составить план мероприятий по улучшению условий в рамках указанных параметров.</w:t>
      </w:r>
    </w:p>
    <w:p w:rsidR="00610881" w:rsidRDefault="00610881" w:rsidP="00610881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</w:p>
    <w:p w:rsidR="00610881" w:rsidRDefault="00610881" w:rsidP="00610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="00286ADC">
        <w:rPr>
          <w:rFonts w:ascii="Times New Roman" w:eastAsia="Times New Roman" w:hAnsi="Times New Roman" w:cs="Times New Roman"/>
          <w:sz w:val="28"/>
          <w:szCs w:val="28"/>
        </w:rPr>
        <w:t xml:space="preserve">ение подготовлено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экспертами РОО «АКМНС»</w:t>
      </w:r>
    </w:p>
    <w:p w:rsidR="00610881" w:rsidRDefault="00610881" w:rsidP="00610881">
      <w:pPr>
        <w:ind w:firstLine="425"/>
        <w:rPr>
          <w:rFonts w:ascii="Calibri" w:eastAsia="Times New Roman" w:hAnsi="Calibri" w:cs="Times New Roman"/>
        </w:rPr>
      </w:pPr>
    </w:p>
    <w:p w:rsidR="00610881" w:rsidRDefault="00610881" w:rsidP="00610881"/>
    <w:p w:rsidR="00610881" w:rsidRDefault="00610881" w:rsidP="00610881"/>
    <w:p w:rsidR="00610881" w:rsidRDefault="00610881" w:rsidP="00610881"/>
    <w:p w:rsidR="00767F66" w:rsidRDefault="00767F66"/>
    <w:sectPr w:rsidR="00767F66" w:rsidSect="0066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0881"/>
    <w:rsid w:val="00002CC8"/>
    <w:rsid w:val="00014E31"/>
    <w:rsid w:val="00014F7B"/>
    <w:rsid w:val="00286ADC"/>
    <w:rsid w:val="003F510A"/>
    <w:rsid w:val="0052718E"/>
    <w:rsid w:val="0059138E"/>
    <w:rsid w:val="00610881"/>
    <w:rsid w:val="00667496"/>
    <w:rsid w:val="006A06BA"/>
    <w:rsid w:val="00767F66"/>
    <w:rsid w:val="0084430C"/>
    <w:rsid w:val="008762AD"/>
    <w:rsid w:val="008A1FC6"/>
    <w:rsid w:val="00915F9A"/>
    <w:rsid w:val="0094187C"/>
    <w:rsid w:val="00A440FC"/>
    <w:rsid w:val="00BE5B31"/>
    <w:rsid w:val="00CA205D"/>
    <w:rsid w:val="00CB7E00"/>
    <w:rsid w:val="00F0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uiPriority w:val="34"/>
    <w:locked/>
    <w:rsid w:val="00610881"/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3"/>
    <w:uiPriority w:val="34"/>
    <w:qFormat/>
    <w:rsid w:val="00610881"/>
    <w:pPr>
      <w:ind w:left="720"/>
      <w:contextualSpacing/>
    </w:pPr>
  </w:style>
  <w:style w:type="paragraph" w:customStyle="1" w:styleId="a5">
    <w:name w:val="Содержимое таблицы"/>
    <w:basedOn w:val="a"/>
    <w:rsid w:val="006108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ConsPlusTitle">
    <w:name w:val="ConsPlusTitle"/>
    <w:rsid w:val="00610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108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61088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по всем группам показателей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9</a:t>
                    </a:r>
                    <a:r>
                      <a:rPr lang="en-US"/>
                      <a:t>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D7-4181-85F5-1EF3AD1433E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4</a:t>
                    </a:r>
                    <a:r>
                      <a:rPr lang="en-US"/>
                      <a:t>,1</a:t>
                    </a:r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98,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7</a:t>
                    </a:r>
                    <a:r>
                      <a:rPr lang="en-US"/>
                      <a:t>,</a:t>
                    </a:r>
                    <a:r>
                      <a:rPr lang="sah-RU"/>
                      <a:t>9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 1 группе показателей</c:v>
                </c:pt>
                <c:pt idx="1">
                  <c:v>По 2 группе показателей</c:v>
                </c:pt>
                <c:pt idx="2">
                  <c:v>По 3 группе показателей</c:v>
                </c:pt>
                <c:pt idx="3">
                  <c:v>По 4 группе показателей</c:v>
                </c:pt>
                <c:pt idx="4">
                  <c:v>По 5 группе показателей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99.4</c:v>
                </c:pt>
                <c:pt idx="1">
                  <c:v>99.2</c:v>
                </c:pt>
                <c:pt idx="2">
                  <c:v>89.1</c:v>
                </c:pt>
                <c:pt idx="3">
                  <c:v>98.4</c:v>
                </c:pt>
                <c:pt idx="4">
                  <c:v>98.4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D7-4181-85F5-1EF3AD1433E0}"/>
            </c:ext>
          </c:extLst>
        </c:ser>
        <c:overlap val="100"/>
        <c:axId val="91436928"/>
        <c:axId val="91438464"/>
      </c:barChart>
      <c:catAx>
        <c:axId val="91436928"/>
        <c:scaling>
          <c:orientation val="minMax"/>
        </c:scaling>
        <c:axPos val="b"/>
        <c:numFmt formatCode="General" sourceLinked="0"/>
        <c:tickLblPos val="nextTo"/>
        <c:crossAx val="91438464"/>
        <c:crosses val="autoZero"/>
        <c:auto val="1"/>
        <c:lblAlgn val="ctr"/>
        <c:lblOffset val="100"/>
      </c:catAx>
      <c:valAx>
        <c:axId val="91438464"/>
        <c:scaling>
          <c:orientation val="minMax"/>
        </c:scaling>
        <c:axPos val="l"/>
        <c:majorGridlines/>
        <c:numFmt formatCode="General" sourceLinked="1"/>
        <c:tickLblPos val="nextTo"/>
        <c:crossAx val="9143692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Мотрена</dc:creator>
  <cp:keywords/>
  <dc:description/>
  <cp:lastModifiedBy>Методист</cp:lastModifiedBy>
  <cp:revision>16</cp:revision>
  <dcterms:created xsi:type="dcterms:W3CDTF">2019-12-04T22:24:00Z</dcterms:created>
  <dcterms:modified xsi:type="dcterms:W3CDTF">2019-12-12T05:19:00Z</dcterms:modified>
</cp:coreProperties>
</file>